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2</w:t>
      </w:r>
      <w:r>
        <w:rPr>
          <w:rFonts w:hint="default"/>
          <w:sz w:val="36"/>
          <w:szCs w:val="36"/>
        </w:rPr>
        <w:t xml:space="preserve">: </w:t>
      </w:r>
    </w:p>
    <w:p w14:paraId="5C0A2F80">
      <w:pPr>
        <w:bidi w:val="0"/>
        <w:jc w:val="center"/>
        <w:rPr>
          <w:rFonts w:hint="default"/>
          <w:sz w:val="36"/>
          <w:szCs w:val="36"/>
        </w:rPr>
      </w:pPr>
    </w:p>
    <w:p w14:paraId="4EBD2454">
      <w:pPr>
        <w:bidi w:val="0"/>
        <w:jc w:val="center"/>
        <w:rPr>
          <w:sz w:val="32"/>
          <w:szCs w:val="32"/>
        </w:rPr>
      </w:pPr>
      <w:r>
        <w:rPr>
          <w:rFonts w:hint="default"/>
          <w:sz w:val="36"/>
          <w:szCs w:val="36"/>
        </w:rPr>
        <w:t>Встреча со «Стражем» (Работа с блоками)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0770489">
      <w:pPr>
        <w:bidi w:val="0"/>
        <w:rPr>
          <w:rFonts w:hint="default"/>
          <w:sz w:val="28"/>
          <w:szCs w:val="28"/>
        </w:rPr>
      </w:pPr>
    </w:p>
    <w:p w14:paraId="42F88EF4">
      <w:pPr>
        <w:bidi w:val="0"/>
        <w:jc w:val="center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Практика 3: «Перепрошивка убеждения»</w:t>
      </w:r>
    </w:p>
    <w:p w14:paraId="2F019175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7AC6D6AB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з</w:t>
      </w:r>
      <w:r>
        <w:rPr>
          <w:rFonts w:hint="default"/>
          <w:sz w:val="28"/>
          <w:szCs w:val="28"/>
        </w:rPr>
        <w:t>амена ограничивающего убеждения на поддерживающее.</w:t>
      </w:r>
    </w:p>
    <w:p w14:paraId="531CEE39">
      <w:pPr>
        <w:bidi w:val="0"/>
        <w:jc w:val="right"/>
        <w:rPr>
          <w:rFonts w:hint="default"/>
          <w:b/>
          <w:bCs/>
          <w:sz w:val="28"/>
          <w:szCs w:val="28"/>
          <w:lang w:val="ru-RU"/>
        </w:rPr>
      </w:pPr>
    </w:p>
    <w:p w14:paraId="2CCDA877">
      <w:pPr>
        <w:bidi w:val="0"/>
        <w:jc w:val="right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Таблица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6559A94E">
      <w:pPr>
        <w:bidi w:val="0"/>
        <w:jc w:val="right"/>
        <w:rPr>
          <w:rFonts w:hint="default"/>
          <w:sz w:val="28"/>
          <w:szCs w:val="28"/>
          <w:lang w:val="ru-RU"/>
        </w:rPr>
      </w:pPr>
    </w:p>
    <w:tbl>
      <w:tblPr>
        <w:tblStyle w:val="1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86"/>
        <w:gridCol w:w="4790"/>
      </w:tblGrid>
      <w:tr w14:paraId="13F5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2266A21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186" w:type="dxa"/>
          </w:tcPr>
          <w:p w14:paraId="5F50650E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Старое убеждение (Блок)</w:t>
            </w:r>
          </w:p>
        </w:tc>
        <w:tc>
          <w:tcPr>
            <w:tcW w:w="4790" w:type="dxa"/>
          </w:tcPr>
          <w:p w14:paraId="7C5F6B12">
            <w:pPr>
              <w:widowControl w:val="0"/>
              <w:bidi w:val="0"/>
              <w:jc w:val="center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Новое убеждение (Ресурс)</w:t>
            </w:r>
          </w:p>
        </w:tc>
      </w:tr>
      <w:tr w14:paraId="3A0B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18045C5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4186" w:type="dxa"/>
          </w:tcPr>
          <w:p w14:paraId="4FFB9BF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color w:val="A6A6A6" w:themeColor="background1" w:themeShade="A6"/>
                <w:sz w:val="32"/>
                <w:szCs w:val="32"/>
                <w:lang w:val="en-US" w:eastAsia="zh-CN"/>
              </w:rPr>
              <w:t>«Я еще недостаточно знаю»</w:t>
            </w:r>
          </w:p>
        </w:tc>
        <w:tc>
          <w:tcPr>
            <w:tcW w:w="4790" w:type="dxa"/>
          </w:tcPr>
          <w:p w14:paraId="0D997F9C">
            <w:pPr>
              <w:widowControl w:val="0"/>
              <w:bidi w:val="0"/>
              <w:jc w:val="right"/>
              <w:rPr>
                <w:rFonts w:hint="default"/>
                <w:color w:val="A6A6A6" w:themeColor="background1" w:themeShade="A6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color w:val="A6A6A6" w:themeColor="background1" w:themeShade="A6"/>
                <w:sz w:val="32"/>
                <w:szCs w:val="32"/>
                <w:lang w:val="en-US" w:eastAsia="zh-CN"/>
              </w:rPr>
              <w:t>«Моих знаний достаточно, чтобы помочь тем, кто на шаг позади меня»</w:t>
            </w:r>
          </w:p>
        </w:tc>
      </w:tr>
      <w:tr w14:paraId="3A681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5F3DAFF4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4186" w:type="dxa"/>
          </w:tcPr>
          <w:p w14:paraId="0A8A115E">
            <w:pPr>
              <w:widowControl w:val="0"/>
              <w:bidi w:val="0"/>
              <w:jc w:val="lef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color w:val="A6A6A6" w:themeColor="background1" w:themeShade="A6"/>
                <w:sz w:val="32"/>
                <w:szCs w:val="32"/>
                <w:lang w:val="en-US" w:eastAsia="zh-CN"/>
              </w:rPr>
              <w:t>«Меня осудят»</w:t>
            </w:r>
          </w:p>
        </w:tc>
        <w:tc>
          <w:tcPr>
            <w:tcW w:w="4790" w:type="dxa"/>
          </w:tcPr>
          <w:p w14:paraId="28D6318E">
            <w:pPr>
              <w:widowControl w:val="0"/>
              <w:bidi w:val="0"/>
              <w:jc w:val="lef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color w:val="A6A6A6" w:themeColor="background1" w:themeShade="A6"/>
                <w:sz w:val="32"/>
                <w:szCs w:val="32"/>
                <w:lang w:val="en-US" w:eastAsia="zh-CN"/>
              </w:rPr>
              <w:t>«Мое проявление — это маяк для моих людей»</w:t>
            </w:r>
          </w:p>
        </w:tc>
      </w:tr>
      <w:tr w14:paraId="4E4C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4738D70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4186" w:type="dxa"/>
          </w:tcPr>
          <w:p w14:paraId="325FAEC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10A9569D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1BE19B9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139C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68FA089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4186" w:type="dxa"/>
          </w:tcPr>
          <w:p w14:paraId="34E5A31C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29E25D7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0E7E210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0FAA7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4A512C5F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4186" w:type="dxa"/>
          </w:tcPr>
          <w:p w14:paraId="7D785E6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7E3ABD0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5139FF3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730A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09E1E826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4186" w:type="dxa"/>
          </w:tcPr>
          <w:p w14:paraId="20F8E74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139E0E0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639787E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23C8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7019F4D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4186" w:type="dxa"/>
          </w:tcPr>
          <w:p w14:paraId="6A1C1EF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13161BA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2C9C323B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1FDA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73E7E67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4186" w:type="dxa"/>
          </w:tcPr>
          <w:p w14:paraId="366A46E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05257B3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60D77B6D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1728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73D288E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9</w:t>
            </w:r>
          </w:p>
        </w:tc>
        <w:tc>
          <w:tcPr>
            <w:tcW w:w="4186" w:type="dxa"/>
          </w:tcPr>
          <w:p w14:paraId="1432875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2F65303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15D1E2A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39E8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0C8784CA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ru-RU"/>
              </w:rPr>
              <w:t>10</w:t>
            </w:r>
          </w:p>
        </w:tc>
        <w:tc>
          <w:tcPr>
            <w:tcW w:w="4186" w:type="dxa"/>
          </w:tcPr>
          <w:p w14:paraId="257B4B4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52870E3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356A2E3B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20031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5243CD67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186" w:type="dxa"/>
          </w:tcPr>
          <w:p w14:paraId="7954061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2403973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  <w:p w14:paraId="2695E618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5A7B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57C12D69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186" w:type="dxa"/>
          </w:tcPr>
          <w:p w14:paraId="56535103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6188798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5E98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001DADA2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186" w:type="dxa"/>
          </w:tcPr>
          <w:p w14:paraId="20EA484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7E55ED21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</w:tr>
      <w:tr w14:paraId="504E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3F038CA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186" w:type="dxa"/>
          </w:tcPr>
          <w:p w14:paraId="4B66CE90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4790" w:type="dxa"/>
          </w:tcPr>
          <w:p w14:paraId="28830CDE">
            <w:pPr>
              <w:widowControl w:val="0"/>
              <w:bidi w:val="0"/>
              <w:jc w:val="right"/>
              <w:rPr>
                <w:rFonts w:hint="default"/>
                <w:sz w:val="28"/>
                <w:szCs w:val="28"/>
                <w:vertAlign w:val="baseline"/>
                <w:lang w:val="ru-RU"/>
              </w:rPr>
            </w:pPr>
            <w:bookmarkStart w:id="0" w:name="_GoBack"/>
            <w:bookmarkEnd w:id="0"/>
          </w:p>
        </w:tc>
      </w:tr>
    </w:tbl>
    <w:p w14:paraId="2C825EA7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21049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4007</Characters>
  <Lines>0</Lines>
  <Paragraphs>0</Paragraphs>
  <TotalTime>3</TotalTime>
  <ScaleCrop>false</ScaleCrop>
  <LinksUpToDate>false</LinksUpToDate>
  <CharactersWithSpaces>4258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2026-09-23T14:49:35Z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